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imSun" w:hAnsi="SimSun" w:eastAsia="SimSun" w:cs="SimSun"/>
          <w:sz w:val="24"/>
          <w:szCs w:val="24"/>
        </w:rPr>
      </w:pPr>
    </w:p>
    <w:p>
      <w:pPr>
        <w:jc w:val="center"/>
        <w:rPr>
          <w:rFonts w:ascii="SimSun" w:hAnsi="SimSun" w:eastAsia="SimSun" w:cs="SimSun"/>
          <w:sz w:val="21"/>
          <w:szCs w:val="21"/>
        </w:rPr>
      </w:pPr>
      <w:r>
        <w:rPr>
          <w:rFonts w:hint="eastAsia" w:asciiTheme="minorEastAsia" w:hAnsiTheme="minorEastAsia" w:eastAsiaTheme="minorEastAsia" w:cstheme="minorEastAsia"/>
          <w:sz w:val="21"/>
          <w:szCs w:val="21"/>
        </w:rPr>
        <w:t>介護職員等処遇改善加算にかかる情報公開（見える化要件</w:t>
      </w:r>
      <w:r>
        <w:rPr>
          <w:rFonts w:ascii="SimSun" w:hAnsi="SimSun" w:eastAsia="SimSun" w:cs="SimSun"/>
          <w:sz w:val="21"/>
          <w:szCs w:val="21"/>
        </w:rPr>
        <w:t>）</w:t>
      </w:r>
    </w:p>
    <w:p>
      <w:pPr>
        <w:rPr>
          <w:rFonts w:ascii="SimSun" w:hAnsi="SimSun" w:eastAsia="SimSun" w:cs="SimSun"/>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aps w:val="0"/>
          <w:color w:val="333333"/>
          <w:spacing w:val="0"/>
          <w:sz w:val="21"/>
          <w:szCs w:val="21"/>
          <w:shd w:val="clear" w:fill="FFFFFF"/>
        </w:rPr>
        <w:t>当社では処遇改善加算に係る下記の取り組みを実施し、</w:t>
      </w:r>
      <w:r>
        <w:rPr>
          <w:rFonts w:hint="eastAsia" w:asciiTheme="minorEastAsia" w:hAnsiTheme="minorEastAsia" w:eastAsiaTheme="minorEastAsia" w:cstheme="minorEastAsia"/>
          <w:b/>
          <w:i w:val="0"/>
          <w:caps w:val="0"/>
          <w:color w:val="53B54B"/>
          <w:spacing w:val="0"/>
          <w:sz w:val="21"/>
          <w:szCs w:val="21"/>
          <w:shd w:val="clear" w:fill="FFFFFF"/>
        </w:rPr>
        <w:t>処遇改善加算Ⅰ</w:t>
      </w:r>
      <w:r>
        <w:rPr>
          <w:rFonts w:hint="eastAsia" w:asciiTheme="minorEastAsia" w:hAnsiTheme="minorEastAsia" w:eastAsiaTheme="minorEastAsia" w:cstheme="minorEastAsia"/>
          <w:i w:val="0"/>
          <w:caps w:val="0"/>
          <w:color w:val="333333"/>
          <w:spacing w:val="0"/>
          <w:sz w:val="21"/>
          <w:szCs w:val="21"/>
          <w:shd w:val="clear" w:fill="FFFFFF"/>
        </w:rPr>
        <w:t>を取得しております。</w:t>
      </w:r>
    </w:p>
    <w:p>
      <w:pPr>
        <w:pStyle w:val="2"/>
        <w:keepNext w:val="0"/>
        <w:keepLines w:val="0"/>
        <w:widowControl/>
        <w:suppressLineNumbers w:val="0"/>
        <w:shd w:val="clear" w:fill="FFFFFF"/>
        <w:spacing w:before="0" w:beforeAutospacing="0" w:after="0" w:afterAutospacing="0"/>
        <w:ind w:left="0" w:right="0" w:firstLine="0"/>
        <w:jc w:val="left"/>
        <w:rPr>
          <w:rFonts w:hint="eastAsia" w:asciiTheme="minorEastAsia" w:hAnsiTheme="minorEastAsia" w:eastAsiaTheme="minorEastAsia" w:cstheme="minorEastAsia"/>
          <w:b/>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shd w:val="clear" w:fill="FFFFFF"/>
        </w:rPr>
        <w:t>1. 処遇改善計画を立案している、または既に処遇改善を行っており、適切に報告していること。</w:t>
      </w:r>
    </w:p>
    <w:p>
      <w:pPr>
        <w:pStyle w:val="2"/>
        <w:keepNext w:val="0"/>
        <w:keepLines w:val="0"/>
        <w:widowControl/>
        <w:suppressLineNumbers w:val="0"/>
        <w:shd w:val="clear" w:fill="FFFFFF"/>
        <w:spacing w:before="0" w:beforeAutospacing="0" w:after="0" w:afterAutospacing="0"/>
        <w:ind w:left="0" w:right="0" w:firstLine="0"/>
        <w:jc w:val="left"/>
        <w:rPr>
          <w:rFonts w:hint="eastAsia" w:asciiTheme="minorEastAsia" w:hAnsiTheme="minorEastAsia" w:eastAsiaTheme="minorEastAsia" w:cstheme="minorEastAsia"/>
          <w:b/>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shd w:val="clear" w:fill="FFFFFF"/>
        </w:rPr>
        <w:t>2. 労働基準法等の違反、労働保険の未納がないこと。</w:t>
      </w:r>
    </w:p>
    <w:p>
      <w:pPr>
        <w:pStyle w:val="2"/>
        <w:keepNext w:val="0"/>
        <w:keepLines w:val="0"/>
        <w:widowControl/>
        <w:suppressLineNumbers w:val="0"/>
        <w:shd w:val="clear" w:fill="FFFFFF"/>
        <w:spacing w:before="0" w:beforeAutospacing="0" w:after="0" w:afterAutospacing="0"/>
        <w:ind w:left="0" w:right="0" w:firstLine="0"/>
        <w:jc w:val="left"/>
        <w:rPr>
          <w:rFonts w:hint="eastAsia" w:asciiTheme="minorEastAsia" w:hAnsiTheme="minorEastAsia" w:eastAsiaTheme="minorEastAsia" w:cstheme="minorEastAsia"/>
          <w:b/>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shd w:val="clear" w:fill="FFFFFF"/>
        </w:rPr>
        <w:t>3. 新たな定量的要件（職場環境等要件）を満たしていること。</w:t>
      </w:r>
    </w:p>
    <w:p>
      <w:pPr>
        <w:pStyle w:val="3"/>
        <w:keepNext w:val="0"/>
        <w:keepLines w:val="0"/>
        <w:widowControl/>
        <w:suppressLineNumbers w:val="0"/>
        <w:shd w:val="clear" w:fill="FFFFFF"/>
        <w:spacing w:before="150" w:beforeAutospacing="0" w:after="150" w:afterAutospacing="0"/>
        <w:ind w:left="0" w:righ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sz w:val="21"/>
          <w:szCs w:val="21"/>
          <w:shd w:val="clear" w:fill="FFFFFF"/>
          <w:lang w:val="en-US" w:eastAsia="ja-JP"/>
        </w:rPr>
        <w:t>R3</w:t>
      </w:r>
      <w:r>
        <w:rPr>
          <w:rFonts w:hint="eastAsia" w:asciiTheme="minorEastAsia" w:hAnsiTheme="minorEastAsia" w:eastAsiaTheme="minorEastAsia" w:cstheme="minorEastAsia"/>
          <w:i w:val="0"/>
          <w:caps w:val="0"/>
          <w:color w:val="333333"/>
          <w:spacing w:val="0"/>
          <w:sz w:val="21"/>
          <w:szCs w:val="21"/>
          <w:shd w:val="clear" w:fill="FFFFFF"/>
        </w:rPr>
        <w:t>年4月から計画書の届出の日の属する月の前月までに実施した職員の処遇改善の内容（賃金改善に関するものを除く。）および当該職員の処遇改善に要した費用を全ての職員に周知していること。</w:t>
      </w:r>
    </w:p>
    <w:p>
      <w:pPr>
        <w:pStyle w:val="2"/>
        <w:keepNext w:val="0"/>
        <w:keepLines w:val="0"/>
        <w:widowControl/>
        <w:suppressLineNumbers w:val="0"/>
        <w:shd w:val="clear" w:fill="FFFFFF"/>
        <w:spacing w:before="0" w:beforeAutospacing="0" w:after="0" w:afterAutospacing="0"/>
        <w:ind w:left="0" w:right="0" w:firstLine="0"/>
        <w:jc w:val="left"/>
        <w:rPr>
          <w:rFonts w:hint="eastAsia" w:asciiTheme="minorEastAsia" w:hAnsiTheme="minorEastAsia" w:eastAsiaTheme="minorEastAsia" w:cstheme="minorEastAsia"/>
          <w:b/>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shd w:val="clear" w:fill="FFFFFF"/>
        </w:rPr>
        <w:t>4. キャリアパス要件Ⅰを満たしていること。</w:t>
      </w:r>
    </w:p>
    <w:p>
      <w:pPr>
        <w:pStyle w:val="3"/>
        <w:keepNext w:val="0"/>
        <w:keepLines w:val="0"/>
        <w:widowControl/>
        <w:suppressLineNumbers w:val="0"/>
        <w:shd w:val="clear" w:fill="FFFFFF"/>
        <w:spacing w:before="150" w:beforeAutospacing="0" w:after="150" w:afterAutospacing="0"/>
        <w:ind w:left="0" w:righ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sz w:val="21"/>
          <w:szCs w:val="21"/>
          <w:shd w:val="clear" w:fill="FFFFFF"/>
        </w:rPr>
        <w:t>① 職員の任用の際における職位（役職）、職責または職務内容に応じた任用等の要件を定めること。</w:t>
      </w:r>
      <w:r>
        <w:rPr>
          <w:rFonts w:hint="eastAsia" w:asciiTheme="minorEastAsia" w:hAnsiTheme="minorEastAsia" w:eastAsiaTheme="minorEastAsia" w:cstheme="minorEastAsia"/>
          <w:i w:val="0"/>
          <w:caps w:val="0"/>
          <w:color w:val="333333"/>
          <w:spacing w:val="0"/>
          <w:sz w:val="21"/>
          <w:szCs w:val="21"/>
          <w:shd w:val="clear" w:fill="FFFFFF"/>
        </w:rPr>
        <w:br w:type="textWrapping"/>
      </w:r>
      <w:r>
        <w:rPr>
          <w:rFonts w:hint="eastAsia" w:asciiTheme="minorEastAsia" w:hAnsiTheme="minorEastAsia" w:eastAsiaTheme="minorEastAsia" w:cstheme="minorEastAsia"/>
          <w:i w:val="0"/>
          <w:caps w:val="0"/>
          <w:color w:val="333333"/>
          <w:spacing w:val="0"/>
          <w:sz w:val="21"/>
          <w:szCs w:val="21"/>
          <w:shd w:val="clear" w:fill="FFFFFF"/>
        </w:rPr>
        <w:t>② ①に掲げる職位（役職）、職責または職務内容に応じた任用等の要件を定めていること。</w:t>
      </w:r>
      <w:r>
        <w:rPr>
          <w:rFonts w:hint="eastAsia" w:asciiTheme="minorEastAsia" w:hAnsiTheme="minorEastAsia" w:eastAsiaTheme="minorEastAsia" w:cstheme="minorEastAsia"/>
          <w:i w:val="0"/>
          <w:caps w:val="0"/>
          <w:color w:val="333333"/>
          <w:spacing w:val="0"/>
          <w:sz w:val="21"/>
          <w:szCs w:val="21"/>
          <w:shd w:val="clear" w:fill="FFFFFF"/>
        </w:rPr>
        <w:br w:type="textWrapping"/>
      </w:r>
      <w:r>
        <w:rPr>
          <w:rFonts w:hint="eastAsia" w:asciiTheme="minorEastAsia" w:hAnsiTheme="minorEastAsia" w:eastAsiaTheme="minorEastAsia" w:cstheme="minorEastAsia"/>
          <w:i w:val="0"/>
          <w:caps w:val="0"/>
          <w:color w:val="333333"/>
          <w:spacing w:val="0"/>
          <w:sz w:val="21"/>
          <w:szCs w:val="21"/>
          <w:shd w:val="clear" w:fill="FFFFFF"/>
        </w:rPr>
        <w:t>③ ①および②の内容について職業規則などのもので、書面で明確にし、周知していること。</w:t>
      </w:r>
    </w:p>
    <w:p>
      <w:pPr>
        <w:pStyle w:val="2"/>
        <w:keepNext w:val="0"/>
        <w:keepLines w:val="0"/>
        <w:widowControl/>
        <w:suppressLineNumbers w:val="0"/>
        <w:shd w:val="clear" w:fill="FFFFFF"/>
        <w:spacing w:before="0" w:beforeAutospacing="0" w:after="0" w:afterAutospacing="0"/>
        <w:ind w:left="0" w:right="0" w:firstLine="0"/>
        <w:jc w:val="left"/>
        <w:rPr>
          <w:rFonts w:hint="eastAsia" w:asciiTheme="minorEastAsia" w:hAnsiTheme="minorEastAsia" w:eastAsiaTheme="minorEastAsia" w:cstheme="minorEastAsia"/>
          <w:b/>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shd w:val="clear" w:fill="FFFFFF"/>
        </w:rPr>
        <w:t>5. キャリアパス要件Ⅱを満たしていること。</w:t>
      </w:r>
    </w:p>
    <w:p>
      <w:pPr>
        <w:pStyle w:val="3"/>
        <w:keepNext w:val="0"/>
        <w:keepLines w:val="0"/>
        <w:widowControl/>
        <w:suppressLineNumbers w:val="0"/>
        <w:shd w:val="clear" w:fill="FFFFFF"/>
        <w:spacing w:before="150" w:beforeAutospacing="0" w:after="150" w:afterAutospacing="0"/>
        <w:ind w:left="0" w:righ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sz w:val="21"/>
          <w:szCs w:val="21"/>
          <w:shd w:val="clear" w:fill="FFFFFF"/>
        </w:rPr>
        <w:t>① 次のア.またはイ.の条件を満たした計画を作成していること。</w:t>
      </w:r>
      <w:r>
        <w:rPr>
          <w:rFonts w:hint="eastAsia" w:asciiTheme="minorEastAsia" w:hAnsiTheme="minorEastAsia" w:eastAsiaTheme="minorEastAsia" w:cstheme="minorEastAsia"/>
          <w:i w:val="0"/>
          <w:caps w:val="0"/>
          <w:color w:val="333333"/>
          <w:spacing w:val="0"/>
          <w:sz w:val="21"/>
          <w:szCs w:val="21"/>
          <w:shd w:val="clear" w:fill="FFFFFF"/>
        </w:rPr>
        <w:br w:type="textWrapping"/>
      </w:r>
      <w:r>
        <w:rPr>
          <w:rFonts w:hint="eastAsia" w:asciiTheme="minorEastAsia" w:hAnsiTheme="minorEastAsia" w:eastAsiaTheme="minorEastAsia" w:cstheme="minorEastAsia"/>
          <w:i w:val="0"/>
          <w:caps w:val="0"/>
          <w:color w:val="333333"/>
          <w:spacing w:val="0"/>
          <w:sz w:val="21"/>
          <w:szCs w:val="21"/>
          <w:shd w:val="clear" w:fill="FFFFFF"/>
        </w:rPr>
        <w:t>ア）資質向上のための計画に沿って、研修機会の提供または技術指導等を実施（OJT、OFF-JT）するとともに職員の能力評価を行うこと。</w:t>
      </w:r>
      <w:r>
        <w:rPr>
          <w:rFonts w:hint="eastAsia" w:asciiTheme="minorEastAsia" w:hAnsiTheme="minorEastAsia" w:eastAsiaTheme="minorEastAsia" w:cstheme="minorEastAsia"/>
          <w:i w:val="0"/>
          <w:caps w:val="0"/>
          <w:color w:val="333333"/>
          <w:spacing w:val="0"/>
          <w:sz w:val="21"/>
          <w:szCs w:val="21"/>
          <w:shd w:val="clear" w:fill="FFFFFF"/>
        </w:rPr>
        <w:br w:type="textWrapping"/>
      </w:r>
      <w:r>
        <w:rPr>
          <w:rFonts w:hint="eastAsia" w:asciiTheme="minorEastAsia" w:hAnsiTheme="minorEastAsia" w:eastAsiaTheme="minorEastAsia" w:cstheme="minorEastAsia"/>
          <w:i w:val="0"/>
          <w:caps w:val="0"/>
          <w:color w:val="333333"/>
          <w:spacing w:val="0"/>
          <w:sz w:val="21"/>
          <w:szCs w:val="21"/>
          <w:shd w:val="clear" w:fill="FFFFFF"/>
        </w:rPr>
        <w:t>イ）資格取得のための支援（金銭、休暇の取得など）を行うこと。</w:t>
      </w:r>
      <w:r>
        <w:rPr>
          <w:rFonts w:hint="eastAsia" w:asciiTheme="minorEastAsia" w:hAnsiTheme="minorEastAsia" w:eastAsiaTheme="minorEastAsia" w:cstheme="minorEastAsia"/>
          <w:i w:val="0"/>
          <w:caps w:val="0"/>
          <w:color w:val="333333"/>
          <w:spacing w:val="0"/>
          <w:sz w:val="21"/>
          <w:szCs w:val="21"/>
          <w:shd w:val="clear" w:fill="FFFFFF"/>
        </w:rPr>
        <w:br w:type="textWrapping"/>
      </w:r>
      <w:r>
        <w:rPr>
          <w:rFonts w:hint="eastAsia" w:asciiTheme="minorEastAsia" w:hAnsiTheme="minorEastAsia" w:eastAsiaTheme="minorEastAsia" w:cstheme="minorEastAsia"/>
          <w:i w:val="0"/>
          <w:caps w:val="0"/>
          <w:color w:val="333333"/>
          <w:spacing w:val="0"/>
          <w:sz w:val="21"/>
          <w:szCs w:val="21"/>
          <w:shd w:val="clear" w:fill="FFFFFF"/>
        </w:rPr>
        <w:t>②上記の内容をすべての介護職員に周知していること。</w:t>
      </w:r>
    </w:p>
    <w:p>
      <w:pPr>
        <w:pStyle w:val="2"/>
        <w:keepNext w:val="0"/>
        <w:keepLines w:val="0"/>
        <w:widowControl/>
        <w:suppressLineNumbers w:val="0"/>
        <w:shd w:val="clear" w:fill="FFFFFF"/>
        <w:spacing w:before="0" w:beforeAutospacing="0" w:after="0" w:afterAutospacing="0"/>
        <w:ind w:left="0" w:right="0" w:firstLine="0"/>
        <w:jc w:val="left"/>
        <w:rPr>
          <w:rFonts w:hint="eastAsia" w:asciiTheme="minorEastAsia" w:hAnsiTheme="minorEastAsia" w:eastAsiaTheme="minorEastAsia" w:cstheme="minorEastAsia"/>
          <w:b/>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shd w:val="clear" w:fill="FFFFFF"/>
        </w:rPr>
        <w:t>6. キャリアパス要件Ⅲを満たしていること。</w:t>
      </w:r>
    </w:p>
    <w:p>
      <w:pPr>
        <w:pStyle w:val="3"/>
        <w:keepNext w:val="0"/>
        <w:keepLines w:val="0"/>
        <w:widowControl/>
        <w:suppressLineNumbers w:val="0"/>
        <w:shd w:val="clear" w:fill="FFFFFF"/>
        <w:spacing w:before="150" w:beforeAutospacing="0" w:after="150" w:afterAutospacing="0"/>
        <w:ind w:left="0" w:right="0" w:firstLine="0"/>
        <w:jc w:val="lef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sz w:val="21"/>
          <w:szCs w:val="21"/>
          <w:shd w:val="clear" w:fill="FFFFFF"/>
        </w:rPr>
        <w:t>① 次のいずれか昇給の仕組みを導入していること。※単一の基準ではなく、複数の基準をかけ合わせた仕組みでも可。</w:t>
      </w:r>
      <w:r>
        <w:rPr>
          <w:rFonts w:hint="eastAsia" w:asciiTheme="minorEastAsia" w:hAnsiTheme="minorEastAsia" w:eastAsiaTheme="minorEastAsia" w:cstheme="minorEastAsia"/>
          <w:i w:val="0"/>
          <w:caps w:val="0"/>
          <w:color w:val="333333"/>
          <w:spacing w:val="0"/>
          <w:sz w:val="21"/>
          <w:szCs w:val="21"/>
          <w:shd w:val="clear" w:fill="FFFFFF"/>
        </w:rPr>
        <w:br w:type="textWrapping"/>
      </w:r>
      <w:r>
        <w:rPr>
          <w:rFonts w:hint="eastAsia" w:asciiTheme="minorEastAsia" w:hAnsiTheme="minorEastAsia" w:eastAsiaTheme="minorEastAsia" w:cstheme="minorEastAsia"/>
          <w:i w:val="0"/>
          <w:caps w:val="0"/>
          <w:color w:val="333333"/>
          <w:spacing w:val="0"/>
          <w:sz w:val="21"/>
          <w:szCs w:val="21"/>
          <w:shd w:val="clear" w:fill="FFFFFF"/>
        </w:rPr>
        <w:t>ア）経験年数や勤続年数に応じて昇給する仕組み</w:t>
      </w:r>
      <w:r>
        <w:rPr>
          <w:rFonts w:hint="eastAsia" w:asciiTheme="minorEastAsia" w:hAnsiTheme="minorEastAsia" w:eastAsiaTheme="minorEastAsia" w:cstheme="minorEastAsia"/>
          <w:i w:val="0"/>
          <w:caps w:val="0"/>
          <w:color w:val="333333"/>
          <w:spacing w:val="0"/>
          <w:sz w:val="21"/>
          <w:szCs w:val="21"/>
          <w:shd w:val="clear" w:fill="FFFFFF"/>
        </w:rPr>
        <w:br w:type="textWrapping"/>
      </w:r>
      <w:r>
        <w:rPr>
          <w:rFonts w:hint="eastAsia" w:asciiTheme="minorEastAsia" w:hAnsiTheme="minorEastAsia" w:eastAsiaTheme="minorEastAsia" w:cstheme="minorEastAsia"/>
          <w:i w:val="0"/>
          <w:caps w:val="0"/>
          <w:color w:val="333333"/>
          <w:spacing w:val="0"/>
          <w:sz w:val="21"/>
          <w:szCs w:val="21"/>
          <w:shd w:val="clear" w:fill="FFFFFF"/>
        </w:rPr>
        <w:t>イ）資格取得（または保有）により昇給する仕組み</w:t>
      </w:r>
      <w:r>
        <w:rPr>
          <w:rFonts w:hint="eastAsia" w:asciiTheme="minorEastAsia" w:hAnsiTheme="minorEastAsia" w:eastAsiaTheme="minorEastAsia" w:cstheme="minorEastAsia"/>
          <w:i w:val="0"/>
          <w:caps w:val="0"/>
          <w:color w:val="333333"/>
          <w:spacing w:val="0"/>
          <w:sz w:val="21"/>
          <w:szCs w:val="21"/>
          <w:shd w:val="clear" w:fill="FFFFFF"/>
        </w:rPr>
        <w:br w:type="textWrapping"/>
      </w:r>
      <w:r>
        <w:rPr>
          <w:rFonts w:hint="eastAsia" w:asciiTheme="minorEastAsia" w:hAnsiTheme="minorEastAsia" w:eastAsiaTheme="minorEastAsia" w:cstheme="minorEastAsia"/>
          <w:i w:val="0"/>
          <w:caps w:val="0"/>
          <w:color w:val="333333"/>
          <w:spacing w:val="0"/>
          <w:sz w:val="21"/>
          <w:szCs w:val="21"/>
          <w:shd w:val="clear" w:fill="FFFFFF"/>
        </w:rPr>
        <w:t>ウ）人事評価や試験結果により昇給する仕組み</w:t>
      </w:r>
      <w:r>
        <w:rPr>
          <w:rFonts w:hint="eastAsia" w:asciiTheme="minorEastAsia" w:hAnsiTheme="minorEastAsia" w:eastAsiaTheme="minorEastAsia" w:cstheme="minorEastAsia"/>
          <w:i w:val="0"/>
          <w:caps w:val="0"/>
          <w:color w:val="333333"/>
          <w:spacing w:val="0"/>
          <w:sz w:val="21"/>
          <w:szCs w:val="21"/>
          <w:shd w:val="clear" w:fill="FFFFFF"/>
        </w:rPr>
        <w:br w:type="textWrapping"/>
      </w:r>
      <w:r>
        <w:rPr>
          <w:rFonts w:hint="eastAsia" w:asciiTheme="minorEastAsia" w:hAnsiTheme="minorEastAsia" w:eastAsiaTheme="minorEastAsia" w:cstheme="minorEastAsia"/>
          <w:i w:val="0"/>
          <w:caps w:val="0"/>
          <w:color w:val="333333"/>
          <w:spacing w:val="0"/>
          <w:sz w:val="21"/>
          <w:szCs w:val="21"/>
          <w:shd w:val="clear" w:fill="FFFFFF"/>
        </w:rPr>
        <w:t>② 上記の内容をすべての介護職員に周知していること。</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令和元（2019）年10月の消費税率引き上げに伴う</w:t>
      </w:r>
      <w:bookmarkStart w:id="0" w:name="_GoBack"/>
      <w:bookmarkEnd w:id="0"/>
      <w:r>
        <w:rPr>
          <w:rFonts w:hint="eastAsia" w:asciiTheme="minorEastAsia" w:hAnsiTheme="minorEastAsia" w:eastAsiaTheme="minorEastAsia" w:cstheme="minorEastAsia"/>
          <w:sz w:val="21"/>
          <w:szCs w:val="21"/>
        </w:rPr>
        <w:t xml:space="preserve">報酬改定において「介護職員等特定処遇改善加算」が 創設され、当法人におきましても加算算定を行っております。 </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当該加算を算定要件として、 </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 現行の介護職員処遇改善加算（Ⅰ）から（Ⅲ）までを取得していること。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 介護職員処遇改善加算の職場環境等要件に関し、複数の取組を行っていること。</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C 介護職員処遇改善加算に基づく取組について、ホームページへの掲載等を通じた </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見える化を行っていること という3つの要件を満たしている必要があります。</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Cの「見える化」要件とは、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 202</w:t>
      </w:r>
      <w:r>
        <w:rPr>
          <w:rFonts w:hint="eastAsia" w:asciiTheme="minorEastAsia" w:hAnsiTheme="minorEastAsia" w:eastAsiaTheme="minorEastAsia" w:cstheme="minorEastAsia"/>
          <w:sz w:val="21"/>
          <w:szCs w:val="21"/>
          <w:lang w:val="en-US" w:eastAsia="ja-JP"/>
        </w:rPr>
        <w:t>1</w:t>
      </w:r>
      <w:r>
        <w:rPr>
          <w:rFonts w:hint="eastAsia" w:asciiTheme="minorEastAsia" w:hAnsiTheme="minorEastAsia" w:eastAsiaTheme="minorEastAsia" w:cstheme="minorEastAsia"/>
          <w:sz w:val="21"/>
          <w:szCs w:val="21"/>
        </w:rPr>
        <w:t>年度からの算定要件で、② 介護サービスの情 報公表制度や自社のホームページを活用して、新加算の取得状況、賃金改善以外の処 遇改善に関する具体的な取組内容を公表していることです。</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以上の要件に基づき、当社における処遇改善に関する具体的な取り組み（賃金以外） につきまして、以下の通り公表いたします。</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tbl>
      <w:tblPr>
        <w:tblStyle w:val="5"/>
        <w:tblW w:w="85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8"/>
        <w:gridCol w:w="271"/>
        <w:gridCol w:w="7372"/>
        <w:gridCol w:w="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分類</w:t>
            </w:r>
          </w:p>
        </w:tc>
        <w:tc>
          <w:tcPr>
            <w:tcW w:w="7914"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618"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資質の向上</w:t>
            </w:r>
          </w:p>
        </w:tc>
        <w:tc>
          <w:tcPr>
            <w:tcW w:w="271" w:type="dxa"/>
            <w:tcBorders>
              <w:top w:val="single" w:color="000000" w:sz="12" w:space="0"/>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643" w:type="dxa"/>
            <w:gridSpan w:val="2"/>
            <w:tcBorders>
              <w:top w:val="single" w:color="000000" w:sz="12" w:space="0"/>
              <w:bottom w:val="dotted" w:color="000000" w:sz="4"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働きながら介護福祉士等の資格取得を目指す者に対する実務者研修受講支援や、より専門性の高い支援技術を取得しようとする者に対する喀痰吸引研修、強度行動障害支援者養成研修、サービス提供責任者研修、中堅職員に対するマネジメント研修の受講支援（研修受講時の他の福祉・介護職員の負担を軽減するための代替職員確保を含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372" w:type="dxa"/>
            <w:tcBorders>
              <w:top w:val="dotted" w:color="000000" w:sz="4" w:space="0"/>
              <w:bottom w:val="dotted"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研修の受講やキャリア段位制度と人事考課との連動</w:t>
            </w:r>
          </w:p>
        </w:tc>
        <w:tc>
          <w:tcPr>
            <w:tcW w:w="271" w:type="dxa"/>
            <w:tcBorders>
              <w:top w:val="dotted" w:color="000000" w:sz="4" w:space="0"/>
              <w:bottom w:val="dotted" w:color="000000" w:sz="4" w:space="0"/>
              <w:right w:val="single" w:color="000000" w:sz="12" w:space="0"/>
            </w:tcBorders>
            <w:shd w:val="clear" w:color="auto" w:fill="FFFFFF"/>
            <w:vAlign w:val="center"/>
          </w:tcPr>
          <w:p>
            <w:pPr>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372" w:type="dxa"/>
            <w:tcBorders>
              <w:top w:val="dotted" w:color="000000" w:sz="4" w:space="0"/>
              <w:bottom w:val="dotted"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小規模事業者の共同による採用・人事ローテーション・研修のための制度構築</w:t>
            </w:r>
          </w:p>
        </w:tc>
        <w:tc>
          <w:tcPr>
            <w:tcW w:w="271" w:type="dxa"/>
            <w:tcBorders>
              <w:top w:val="dotted" w:color="000000" w:sz="4" w:space="0"/>
              <w:bottom w:val="dotted" w:color="000000" w:sz="4" w:space="0"/>
              <w:right w:val="single" w:color="000000" w:sz="12" w:space="0"/>
            </w:tcBorders>
            <w:shd w:val="clear" w:color="auto" w:fill="FFFFFF"/>
            <w:vAlign w:val="center"/>
          </w:tcPr>
          <w:p>
            <w:pPr>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372" w:type="dxa"/>
            <w:tcBorders>
              <w:top w:val="dotted" w:color="000000" w:sz="4" w:space="0"/>
              <w:bottom w:val="dotted"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キャリアパス要件に該当する事項（キャリアパス要件を満たしていない障害福祉サービス事業者に限る）</w:t>
            </w:r>
          </w:p>
        </w:tc>
        <w:tc>
          <w:tcPr>
            <w:tcW w:w="271" w:type="dxa"/>
            <w:tcBorders>
              <w:top w:val="dotted" w:color="000000" w:sz="4" w:space="0"/>
              <w:bottom w:val="dotted" w:color="000000" w:sz="4" w:space="0"/>
              <w:right w:val="single" w:color="000000" w:sz="12" w:space="0"/>
            </w:tcBorders>
            <w:shd w:val="clear" w:color="auto" w:fill="FFFFFF"/>
            <w:vAlign w:val="center"/>
          </w:tcPr>
          <w:p>
            <w:pPr>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372" w:type="dxa"/>
            <w:tcBorders>
              <w:top w:val="dotted"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その他：</w:t>
            </w:r>
          </w:p>
        </w:tc>
        <w:tc>
          <w:tcPr>
            <w:tcW w:w="271" w:type="dxa"/>
            <w:tcBorders>
              <w:top w:val="dotted" w:color="000000" w:sz="4" w:space="0"/>
              <w:right w:val="single" w:color="000000" w:sz="12" w:space="0"/>
            </w:tcBorders>
            <w:shd w:val="clear" w:color="auto" w:fill="FFFFFF"/>
            <w:vAlign w:val="center"/>
          </w:tcPr>
          <w:p>
            <w:pPr>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8"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労働環境・</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処遇の改善</w:t>
            </w:r>
          </w:p>
        </w:tc>
        <w:tc>
          <w:tcPr>
            <w:tcW w:w="271" w:type="dxa"/>
            <w:tcBorders>
              <w:top w:val="single" w:color="000000" w:sz="4" w:space="0"/>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372" w:type="dxa"/>
            <w:tcBorders>
              <w:top w:val="single" w:color="000000" w:sz="4" w:space="0"/>
              <w:bottom w:val="dotted"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新人福祉・介護職員の早期離職防止のためのエルダー・メンター（新人指導担当者）制度等の導入</w:t>
            </w:r>
          </w:p>
        </w:tc>
        <w:tc>
          <w:tcPr>
            <w:tcW w:w="271" w:type="dxa"/>
            <w:tcBorders>
              <w:top w:val="single" w:color="000000" w:sz="4" w:space="0"/>
              <w:bottom w:val="dotted" w:color="000000" w:sz="4" w:space="0"/>
              <w:right w:val="single" w:color="000000" w:sz="12" w:space="0"/>
            </w:tcBorders>
            <w:shd w:val="clear" w:color="auto" w:fill="FFFFFF"/>
            <w:vAlign w:val="center"/>
          </w:tcPr>
          <w:p>
            <w:pPr>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643" w:type="dxa"/>
            <w:gridSpan w:val="2"/>
            <w:tcBorders>
              <w:top w:val="dotted" w:color="000000" w:sz="4" w:space="0"/>
              <w:bottom w:val="dotted" w:color="000000" w:sz="4"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雇用管理改善のため管理者の労働・安全衛生法規、休暇・休職制度に係る研修受講等による雇用管理改善対策の充実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643" w:type="dxa"/>
            <w:gridSpan w:val="2"/>
            <w:tcBorders>
              <w:top w:val="dotted" w:color="000000" w:sz="4" w:space="0"/>
              <w:bottom w:val="dotted" w:color="000000" w:sz="4"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ＩＣＴ活用（支援内容や申し送り事項の共有（事業所内に加えタブレット端末を活用し訪問先でアクセスを可能にすること等を含む）による福祉・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372" w:type="dxa"/>
            <w:tcBorders>
              <w:top w:val="dotted" w:color="000000" w:sz="4" w:space="0"/>
              <w:bottom w:val="dotted"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福祉・介護職員の腰痛対策を含む負担軽減のための介護ロボットやリフト等の介護機器等の導入</w:t>
            </w:r>
          </w:p>
        </w:tc>
        <w:tc>
          <w:tcPr>
            <w:tcW w:w="271" w:type="dxa"/>
            <w:tcBorders>
              <w:top w:val="dotted" w:color="000000" w:sz="4" w:space="0"/>
              <w:bottom w:val="dotted" w:color="000000" w:sz="4" w:space="0"/>
              <w:right w:val="single" w:color="000000" w:sz="12" w:space="0"/>
            </w:tcBorders>
            <w:shd w:val="clear" w:color="auto" w:fill="FFFFFF"/>
            <w:vAlign w:val="center"/>
          </w:tcPr>
          <w:p>
            <w:pPr>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372" w:type="dxa"/>
            <w:tcBorders>
              <w:top w:val="dotted" w:color="000000" w:sz="4" w:space="0"/>
              <w:bottom w:val="dotted"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子育てとの両立を目指す者のための育児休業制度等の充実、事業所内保育施設の整備</w:t>
            </w:r>
          </w:p>
        </w:tc>
        <w:tc>
          <w:tcPr>
            <w:tcW w:w="271" w:type="dxa"/>
            <w:tcBorders>
              <w:top w:val="dotted" w:color="000000" w:sz="4" w:space="0"/>
              <w:bottom w:val="dotted" w:color="000000" w:sz="4" w:space="0"/>
              <w:right w:val="single" w:color="000000" w:sz="12" w:space="0"/>
            </w:tcBorders>
            <w:shd w:val="clear" w:color="auto" w:fill="FFFFFF"/>
            <w:vAlign w:val="center"/>
          </w:tcPr>
          <w:p>
            <w:pPr>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643" w:type="dxa"/>
            <w:gridSpan w:val="2"/>
            <w:tcBorders>
              <w:top w:val="dotted" w:color="000000" w:sz="4" w:space="0"/>
              <w:bottom w:val="dotted" w:color="000000" w:sz="4"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5"/>
                <w:szCs w:val="15"/>
                <w:u w:val="none"/>
              </w:rPr>
            </w:pPr>
            <w:r>
              <w:rPr>
                <w:rFonts w:hint="eastAsia" w:asciiTheme="minorEastAsia" w:hAnsiTheme="minorEastAsia" w:eastAsiaTheme="minorEastAsia" w:cstheme="minorEastAsia"/>
                <w:i w:val="0"/>
                <w:color w:val="000000"/>
                <w:kern w:val="0"/>
                <w:sz w:val="15"/>
                <w:szCs w:val="15"/>
                <w:u w:val="none"/>
                <w:lang w:val="en-US" w:eastAsia="zh-CN" w:bidi="ar"/>
              </w:rPr>
              <w:t>ミーティング等による職場内コミュニケーションの円滑化による個々の福祉・介護職員の気づきを踏まえた勤務環境や支援内容の改善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372" w:type="dxa"/>
            <w:tcBorders>
              <w:top w:val="dotted" w:color="000000" w:sz="4" w:space="0"/>
              <w:bottom w:val="dotted"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事故・トラブルへの対応マニュアル等の作成による責任の所在の明確化</w:t>
            </w:r>
          </w:p>
        </w:tc>
        <w:tc>
          <w:tcPr>
            <w:tcW w:w="271" w:type="dxa"/>
            <w:tcBorders>
              <w:top w:val="dotted" w:color="000000" w:sz="4" w:space="0"/>
              <w:bottom w:val="dotted" w:color="000000" w:sz="4" w:space="0"/>
              <w:right w:val="single" w:color="000000" w:sz="12" w:space="0"/>
            </w:tcBorders>
            <w:shd w:val="clear" w:color="auto" w:fill="FFFFFF"/>
            <w:vAlign w:val="center"/>
          </w:tcPr>
          <w:p>
            <w:pPr>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372" w:type="dxa"/>
            <w:tcBorders>
              <w:top w:val="dotted" w:color="000000" w:sz="4" w:space="0"/>
              <w:bottom w:val="dotted"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健康診断・こころの健康等の健康管理面の強化、職員休憩室・分煙スペース等の整備</w:t>
            </w:r>
          </w:p>
        </w:tc>
        <w:tc>
          <w:tcPr>
            <w:tcW w:w="271" w:type="dxa"/>
            <w:tcBorders>
              <w:top w:val="dotted" w:color="000000" w:sz="4" w:space="0"/>
              <w:bottom w:val="dotted" w:color="000000" w:sz="4" w:space="0"/>
              <w:right w:val="single" w:color="000000" w:sz="12" w:space="0"/>
            </w:tcBorders>
            <w:shd w:val="clear" w:color="auto" w:fill="FFFFFF"/>
            <w:vAlign w:val="center"/>
          </w:tcPr>
          <w:p>
            <w:pPr>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bottom w:val="single"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372" w:type="dxa"/>
            <w:tcBorders>
              <w:top w:val="dotted"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その他：</w:t>
            </w:r>
          </w:p>
        </w:tc>
        <w:tc>
          <w:tcPr>
            <w:tcW w:w="271" w:type="dxa"/>
            <w:tcBorders>
              <w:bottom w:val="single" w:color="000000" w:sz="4" w:space="0"/>
              <w:right w:val="single" w:color="000000" w:sz="12" w:space="0"/>
            </w:tcBorders>
            <w:shd w:val="clear" w:color="auto" w:fill="FFFFFF"/>
            <w:vAlign w:val="center"/>
          </w:tcPr>
          <w:p>
            <w:pPr>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8" w:type="dxa"/>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その他</w:t>
            </w:r>
          </w:p>
        </w:tc>
        <w:tc>
          <w:tcPr>
            <w:tcW w:w="271" w:type="dxa"/>
            <w:tcBorders>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372" w:type="dxa"/>
            <w:tcBorders>
              <w:bottom w:val="dotted"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障害福祉サービス等情報公表制度の活用による経営・人材育成理念の見える化</w:t>
            </w:r>
          </w:p>
        </w:tc>
        <w:tc>
          <w:tcPr>
            <w:tcW w:w="271" w:type="dxa"/>
            <w:tcBorders>
              <w:right w:val="single" w:color="000000" w:sz="12" w:space="0"/>
            </w:tcBorders>
            <w:shd w:val="clear" w:color="auto" w:fill="FFFFFF"/>
            <w:vAlign w:val="center"/>
          </w:tcPr>
          <w:p>
            <w:pPr>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643" w:type="dxa"/>
            <w:gridSpan w:val="2"/>
            <w:tcBorders>
              <w:top w:val="dotted" w:color="000000" w:sz="4" w:space="0"/>
              <w:bottom w:val="dotted" w:color="000000" w:sz="4"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中途採用者（他産業からの転職者、主婦層、中高年齢者等）に特化した人事制度の確立（勤務シフトの配慮、短時間正規職員制度の導入等）)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372" w:type="dxa"/>
            <w:tcBorders>
              <w:top w:val="dotted" w:color="000000" w:sz="4" w:space="0"/>
              <w:bottom w:val="dotted"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障害を有する者でも働きやすい職場環境構築や勤務シフト配慮</w:t>
            </w:r>
          </w:p>
        </w:tc>
        <w:tc>
          <w:tcPr>
            <w:tcW w:w="271" w:type="dxa"/>
            <w:tcBorders>
              <w:top w:val="dotted" w:color="000000" w:sz="4" w:space="0"/>
              <w:bottom w:val="dotted" w:color="000000" w:sz="4" w:space="0"/>
              <w:right w:val="single" w:color="000000" w:sz="12" w:space="0"/>
            </w:tcBorders>
            <w:shd w:val="clear" w:color="auto" w:fill="FFFFFF"/>
            <w:vAlign w:val="center"/>
          </w:tcPr>
          <w:p>
            <w:pPr>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372" w:type="dxa"/>
            <w:tcBorders>
              <w:top w:val="dotted" w:color="000000" w:sz="4" w:space="0"/>
              <w:bottom w:val="dotted"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非正規職員から正規職員への転換</w:t>
            </w:r>
          </w:p>
        </w:tc>
        <w:tc>
          <w:tcPr>
            <w:tcW w:w="271" w:type="dxa"/>
            <w:tcBorders>
              <w:top w:val="dotted" w:color="000000" w:sz="4" w:space="0"/>
              <w:bottom w:val="dotted" w:color="000000" w:sz="4" w:space="0"/>
              <w:right w:val="single" w:color="000000" w:sz="12" w:space="0"/>
            </w:tcBorders>
            <w:shd w:val="clear" w:color="auto" w:fill="FFFFFF"/>
            <w:vAlign w:val="center"/>
          </w:tcPr>
          <w:p>
            <w:pPr>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372" w:type="dxa"/>
            <w:tcBorders>
              <w:top w:val="dotted" w:color="000000" w:sz="4" w:space="0"/>
              <w:bottom w:val="dotted"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地域の児童・生徒や住民との交流による地域包括ケアの一員としてのモチベーション向上</w:t>
            </w:r>
          </w:p>
        </w:tc>
        <w:tc>
          <w:tcPr>
            <w:tcW w:w="271" w:type="dxa"/>
            <w:tcBorders>
              <w:top w:val="dotted" w:color="000000" w:sz="4" w:space="0"/>
              <w:bottom w:val="dotted" w:color="000000" w:sz="4" w:space="0"/>
              <w:right w:val="single" w:color="000000" w:sz="12" w:space="0"/>
            </w:tcBorders>
            <w:shd w:val="clear" w:color="auto" w:fill="FFFFFF"/>
            <w:vAlign w:val="center"/>
          </w:tcPr>
          <w:p>
            <w:pPr>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bottom w:val="dotted" w:color="000000" w:sz="4"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372" w:type="dxa"/>
            <w:tcBorders>
              <w:top w:val="dotted" w:color="000000" w:sz="4" w:space="0"/>
              <w:bottom w:val="dotted"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職員の増員による業務負担の軽減</w:t>
            </w:r>
          </w:p>
        </w:tc>
        <w:tc>
          <w:tcPr>
            <w:tcW w:w="271" w:type="dxa"/>
            <w:tcBorders>
              <w:top w:val="dotted" w:color="000000" w:sz="4" w:space="0"/>
              <w:bottom w:val="dotted" w:color="000000" w:sz="4" w:space="0"/>
              <w:right w:val="single" w:color="000000" w:sz="12" w:space="0"/>
            </w:tcBorders>
            <w:shd w:val="clear" w:color="auto" w:fill="FFFFFF"/>
            <w:vAlign w:val="center"/>
          </w:tcPr>
          <w:p>
            <w:pPr>
              <w:rPr>
                <w:rFonts w:hint="eastAsia" w:asciiTheme="minorEastAsia" w:hAnsiTheme="minorEastAsia" w:eastAsiaTheme="minorEastAsia" w:cstheme="minorEastAsia"/>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618" w:type="dxa"/>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c>
          <w:tcPr>
            <w:tcW w:w="271" w:type="dxa"/>
            <w:tcBorders>
              <w:top w:val="dotted" w:color="000000" w:sz="4" w:space="0"/>
              <w:left w:val="single" w:color="000000" w:sz="12" w:space="0"/>
              <w:bottom w:val="single" w:color="000000" w:sz="12" w:space="0"/>
            </w:tcBorders>
            <w:shd w:val="clear" w:color="auto" w:fill="FFFFCC"/>
            <w:vAlign w:val="center"/>
          </w:tcPr>
          <w:p>
            <w:pPr>
              <w:jc w:val="center"/>
              <w:rPr>
                <w:rFonts w:hint="eastAsia" w:asciiTheme="minorEastAsia" w:hAnsiTheme="minorEastAsia" w:eastAsiaTheme="minorEastAsia" w:cstheme="minorEastAsia"/>
                <w:i w:val="0"/>
                <w:color w:val="000000"/>
                <w:sz w:val="16"/>
                <w:szCs w:val="16"/>
                <w:u w:val="none"/>
                <w:lang w:eastAsia="ja-JP"/>
              </w:rPr>
            </w:pPr>
            <w:r>
              <w:rPr>
                <w:rFonts w:hint="eastAsia" w:asciiTheme="minorEastAsia" w:hAnsiTheme="minorEastAsia" w:eastAsiaTheme="minorEastAsia" w:cstheme="minorEastAsia"/>
                <w:i w:val="0"/>
                <w:color w:val="000000"/>
                <w:sz w:val="16"/>
                <w:szCs w:val="16"/>
                <w:u w:val="none"/>
                <w:lang w:eastAsia="ja-JP"/>
              </w:rPr>
              <w:t>□</w:t>
            </w:r>
          </w:p>
        </w:tc>
        <w:tc>
          <w:tcPr>
            <w:tcW w:w="7372" w:type="dxa"/>
            <w:tcBorders>
              <w:top w:val="dotted" w:color="000000" w:sz="4" w:space="0"/>
              <w:bottom w:val="single" w:color="000000" w:sz="12"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その他：</w:t>
            </w:r>
          </w:p>
        </w:tc>
        <w:tc>
          <w:tcPr>
            <w:tcW w:w="271" w:type="dxa"/>
            <w:tcBorders>
              <w:bottom w:val="single" w:color="000000" w:sz="12" w:space="0"/>
              <w:right w:val="single" w:color="000000" w:sz="12" w:space="0"/>
            </w:tcBorders>
            <w:shd w:val="clear" w:color="auto" w:fill="FFFFFF"/>
            <w:vAlign w:val="center"/>
          </w:tcPr>
          <w:p>
            <w:pPr>
              <w:rPr>
                <w:rFonts w:hint="eastAsia" w:asciiTheme="minorEastAsia" w:hAnsiTheme="minorEastAsia" w:eastAsiaTheme="minorEastAsia" w:cstheme="minorEastAsia"/>
                <w:i w:val="0"/>
                <w:color w:val="000000"/>
                <w:sz w:val="16"/>
                <w:szCs w:val="16"/>
                <w:u w:val="none"/>
              </w:rPr>
            </w:pPr>
          </w:p>
        </w:tc>
      </w:tr>
    </w:tbl>
    <w:p>
      <w:pPr>
        <w:rPr>
          <w:rFonts w:hint="eastAsia" w:asciiTheme="minorEastAsia" w:hAnsiTheme="minorEastAsia" w:eastAsiaTheme="minorEastAsia" w:cstheme="minorEastAsia"/>
          <w:sz w:val="24"/>
          <w:szCs w:val="24"/>
        </w:rPr>
      </w:pPr>
    </w:p>
    <w:p>
      <w:pPr>
        <w:rPr>
          <w:rFonts w:ascii="Ã¦Â¸Â¸Ã£â€šÂ´Ã£â€šÂ·Ã£Æ’Æ’Ã£â€šÂ¯Ã¤Â½â€œ" w:hAnsi="Ã¦Â¸Â¸Ã£â€šÂ´Ã£â€šÂ·Ã£Æ’Æ’Ã£â€šÂ¯Ã¤Â½â€œ" w:eastAsia="Ã¦Â¸Â¸Ã£â€šÂ´Ã£â€šÂ·Ã£Æ’Æ’Ã£â€šÂ¯Ã¤Â½â€œ" w:cs="Ã¦Â¸Â¸Ã£â€šÂ´Ã£â€šÂ·Ã£Æ’Æ’Ã£â€šÂ¯Ã¤Â½â€œ"/>
          <w:i w:val="0"/>
          <w:caps w:val="0"/>
          <w:color w:val="333333"/>
          <w:spacing w:val="0"/>
          <w:sz w:val="24"/>
          <w:szCs w:val="24"/>
          <w:shd w:val="clear" w:fill="FFFFFF"/>
        </w:rPr>
      </w:pPr>
    </w:p>
    <w:p>
      <w:pPr>
        <w:rPr>
          <w:rFonts w:hint="eastAsia" w:ascii="SimSun" w:hAnsi="SimSun" w:eastAsia="ＭＳ 明朝" w:cs="SimSun"/>
          <w:sz w:val="24"/>
          <w:szCs w:val="24"/>
          <w:lang w:val="en-US" w:eastAsia="ja-JP"/>
        </w:rPr>
      </w:pP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ゴシック">
    <w:panose1 w:val="020B0600070205080204"/>
    <w:charset w:val="80"/>
    <w:family w:val="auto"/>
    <w:pitch w:val="default"/>
    <w:sig w:usb0="E00002FF" w:usb1="6AC7FDFB" w:usb2="08000012" w:usb3="00000000" w:csb0="4002009F" w:csb1="DFD70000"/>
  </w:font>
  <w:font w:name="Ã¦Â¸Â¸Ã£â€šÂ´Ã£â€šÂ·Ã£Æ’Æ’Ã£â€šÂ¯Ã¤Â½â€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游明朝">
    <w:panose1 w:val="02020400000000000000"/>
    <w:charset w:val="80"/>
    <w:family w:val="auto"/>
    <w:pitch w:val="default"/>
    <w:sig w:usb0="800002E7" w:usb1="2AC7FCFF" w:usb2="00000012" w:usb3="00000000" w:csb0="2002009F" w:csb1="00000000"/>
  </w:font>
  <w:font w:name="Balloon Bd BT">
    <w:panose1 w:val="03060702020302060201"/>
    <w:charset w:val="00"/>
    <w:family w:val="auto"/>
    <w:pitch w:val="default"/>
    <w:sig w:usb0="800000AF" w:usb1="1000204A" w:usb2="00000000" w:usb3="00000000" w:csb0="00000011" w:csb1="00000000"/>
  </w:font>
  <w:font w:name="Yu Gothic UI Semibold">
    <w:panose1 w:val="020B07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E2A8E"/>
    <w:rsid w:val="36AE2A8E"/>
    <w:rsid w:val="48F96011"/>
    <w:rsid w:val="66E10221"/>
    <w:rsid w:val="7E6F55C5"/>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5"/>
    <w:next w:val="1"/>
    <w:unhideWhenUsed/>
    <w:qFormat/>
    <w:uiPriority w:val="0"/>
    <w:pPr>
      <w:spacing w:before="0" w:beforeAutospacing="1" w:after="0" w:afterAutospacing="1"/>
      <w:jc w:val="left"/>
    </w:pPr>
    <w:rPr>
      <w:rFonts w:hint="eastAsia" w:ascii="SimSun" w:hAnsi="SimSun" w:eastAsia="SimSun" w:cs="SimSun"/>
      <w:b/>
      <w:kern w:val="0"/>
      <w:sz w:val="20"/>
      <w:szCs w:val="20"/>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2021-10-27T03:12:00Z</dcterms:created>
  <dc:creator>ガーベラの園</dc:creator>
  <cp:lastModifiedBy>ガーベラの園</cp:lastModifiedBy>
  <dcterms:modified xsi:type="dcterms:W3CDTF">2021-10-27T04:27:18Z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